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E15F" w14:textId="7FECE58E" w:rsidR="000C091F" w:rsidRPr="007752FA" w:rsidRDefault="000D14E7">
      <w:pPr>
        <w:rPr>
          <w:rFonts w:ascii="Times New Roman" w:hAnsi="Times New Roman" w:cs="Times New Roman"/>
        </w:rPr>
      </w:pPr>
      <w:r w:rsidRPr="007752FA">
        <w:rPr>
          <w:rFonts w:ascii="Times New Roman" w:hAnsi="Times New Roman" w:cs="Times New Roman"/>
        </w:rPr>
        <w:t>Quadrant Testing Criteria</w:t>
      </w:r>
      <w:bookmarkStart w:id="0" w:name="_GoBack"/>
      <w:bookmarkEnd w:id="0"/>
    </w:p>
    <w:p w14:paraId="370CA113" w14:textId="77777777" w:rsidR="000D14E7" w:rsidRDefault="000D14E7"/>
    <w:tbl>
      <w:tblPr>
        <w:tblStyle w:val="TableGrid"/>
        <w:tblW w:w="0" w:type="auto"/>
        <w:tblInd w:w="270" w:type="dxa"/>
        <w:tblLayout w:type="fixed"/>
        <w:tblLook w:val="04A0" w:firstRow="1" w:lastRow="0" w:firstColumn="1" w:lastColumn="0" w:noHBand="0" w:noVBand="1"/>
      </w:tblPr>
      <w:tblGrid>
        <w:gridCol w:w="1458"/>
        <w:gridCol w:w="1709"/>
        <w:gridCol w:w="1883"/>
        <w:gridCol w:w="1882"/>
        <w:gridCol w:w="1883"/>
      </w:tblGrid>
      <w:tr w:rsidR="000D14E7" w:rsidRPr="00C3243F" w14:paraId="34B37474" w14:textId="77777777" w:rsidTr="00B834D9">
        <w:tc>
          <w:tcPr>
            <w:tcW w:w="1458" w:type="dxa"/>
            <w:vMerge w:val="restart"/>
            <w:vAlign w:val="center"/>
          </w:tcPr>
          <w:p w14:paraId="7A8C2C24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-18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93125D">
              <w:rPr>
                <w:rFonts w:ascii="Times New Roman" w:hAnsi="Times New Roman"/>
                <w:b/>
              </w:rPr>
              <w:t>Criterion</w:t>
            </w:r>
          </w:p>
        </w:tc>
        <w:tc>
          <w:tcPr>
            <w:tcW w:w="7357" w:type="dxa"/>
            <w:gridSpan w:val="4"/>
          </w:tcPr>
          <w:p w14:paraId="6E8663E7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93125D">
              <w:rPr>
                <w:rFonts w:ascii="Times New Roman" w:hAnsi="Times New Roman"/>
                <w:b/>
              </w:rPr>
              <w:t>Points</w:t>
            </w:r>
          </w:p>
        </w:tc>
      </w:tr>
      <w:tr w:rsidR="000D14E7" w:rsidRPr="00C3243F" w14:paraId="10AFC7D7" w14:textId="77777777" w:rsidTr="00B834D9">
        <w:tc>
          <w:tcPr>
            <w:tcW w:w="1458" w:type="dxa"/>
            <w:vMerge/>
            <w:vAlign w:val="center"/>
          </w:tcPr>
          <w:p w14:paraId="63875065" w14:textId="77777777" w:rsidR="000D14E7" w:rsidRPr="002F5B28" w:rsidRDefault="000D14E7" w:rsidP="00B834D9">
            <w:pPr>
              <w:tabs>
                <w:tab w:val="center" w:pos="4320"/>
                <w:tab w:val="right" w:pos="8640"/>
              </w:tabs>
              <w:spacing w:before="120" w:after="120"/>
              <w:ind w:right="-1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9" w:type="dxa"/>
          </w:tcPr>
          <w:p w14:paraId="59240CC1" w14:textId="77777777" w:rsidR="000D14E7" w:rsidRPr="002F5B28" w:rsidRDefault="000D14E7" w:rsidP="00B834D9">
            <w:pPr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rPr>
                <w:rFonts w:ascii="Times New Roman" w:hAnsi="Times New Roman"/>
                <w:b/>
              </w:rPr>
            </w:pPr>
            <w:r w:rsidRPr="002F5B2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83" w:type="dxa"/>
          </w:tcPr>
          <w:p w14:paraId="570A2EB0" w14:textId="77777777" w:rsidR="000D14E7" w:rsidRPr="002F5B28" w:rsidRDefault="000D14E7" w:rsidP="00B834D9">
            <w:pPr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rPr>
                <w:rFonts w:ascii="Times New Roman" w:hAnsi="Times New Roman"/>
                <w:b/>
              </w:rPr>
            </w:pPr>
            <w:r w:rsidRPr="002F5B2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82" w:type="dxa"/>
          </w:tcPr>
          <w:p w14:paraId="3CAE0954" w14:textId="77777777" w:rsidR="000D14E7" w:rsidRPr="002F5B28" w:rsidRDefault="000D14E7" w:rsidP="00B834D9">
            <w:pPr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rPr>
                <w:rFonts w:ascii="Times New Roman" w:hAnsi="Times New Roman"/>
                <w:b/>
              </w:rPr>
            </w:pPr>
            <w:r w:rsidRPr="002F5B2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3" w:type="dxa"/>
          </w:tcPr>
          <w:p w14:paraId="7BA8AADD" w14:textId="77777777" w:rsidR="000D14E7" w:rsidRPr="002F5B28" w:rsidRDefault="000D14E7" w:rsidP="00B834D9">
            <w:pPr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rPr>
                <w:rFonts w:ascii="Times New Roman" w:hAnsi="Times New Roman"/>
                <w:b/>
              </w:rPr>
            </w:pPr>
            <w:r w:rsidRPr="002F5B28">
              <w:rPr>
                <w:rFonts w:ascii="Times New Roman" w:hAnsi="Times New Roman"/>
                <w:b/>
              </w:rPr>
              <w:t>0</w:t>
            </w:r>
          </w:p>
        </w:tc>
      </w:tr>
      <w:tr w:rsidR="000D14E7" w:rsidRPr="00C3243F" w14:paraId="41BE8157" w14:textId="77777777" w:rsidTr="00B834D9">
        <w:tc>
          <w:tcPr>
            <w:tcW w:w="1458" w:type="dxa"/>
            <w:vAlign w:val="center"/>
          </w:tcPr>
          <w:p w14:paraId="429237C8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-18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93125D">
              <w:rPr>
                <w:rFonts w:ascii="Times New Roman" w:hAnsi="Times New Roman"/>
                <w:b/>
              </w:rPr>
              <w:t>Accuracy – Trial 1</w:t>
            </w:r>
          </w:p>
        </w:tc>
        <w:tc>
          <w:tcPr>
            <w:tcW w:w="1709" w:type="dxa"/>
            <w:vAlign w:val="center"/>
          </w:tcPr>
          <w:p w14:paraId="7E72C1BA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 xml:space="preserve">Determines the angular height of the object within +/- </w:t>
            </w:r>
            <w:r>
              <w:rPr>
                <w:rFonts w:ascii="Times New Roman" w:hAnsi="Times New Roman"/>
              </w:rPr>
              <w:t>2°</w:t>
            </w:r>
          </w:p>
        </w:tc>
        <w:tc>
          <w:tcPr>
            <w:tcW w:w="1883" w:type="dxa"/>
            <w:vAlign w:val="center"/>
          </w:tcPr>
          <w:p w14:paraId="137F071E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 xml:space="preserve">Determines the angular height of the object within +/- </w:t>
            </w:r>
            <w:r>
              <w:rPr>
                <w:rFonts w:ascii="Times New Roman" w:hAnsi="Times New Roman"/>
              </w:rPr>
              <w:t>4°</w:t>
            </w:r>
          </w:p>
        </w:tc>
        <w:tc>
          <w:tcPr>
            <w:tcW w:w="1882" w:type="dxa"/>
            <w:vAlign w:val="center"/>
          </w:tcPr>
          <w:p w14:paraId="0B40B7D5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 xml:space="preserve">Determines the angular height of the object within +/- </w:t>
            </w:r>
            <w:r>
              <w:rPr>
                <w:rFonts w:ascii="Times New Roman" w:hAnsi="Times New Roman"/>
              </w:rPr>
              <w:t>6°</w:t>
            </w:r>
          </w:p>
        </w:tc>
        <w:tc>
          <w:tcPr>
            <w:tcW w:w="1883" w:type="dxa"/>
            <w:vAlign w:val="center"/>
          </w:tcPr>
          <w:p w14:paraId="4CD9271E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 xml:space="preserve">Is different than the actual angular height by more than +/- </w:t>
            </w:r>
            <w:r>
              <w:rPr>
                <w:rFonts w:ascii="Times New Roman" w:hAnsi="Times New Roman"/>
              </w:rPr>
              <w:t>8°</w:t>
            </w:r>
          </w:p>
        </w:tc>
      </w:tr>
      <w:tr w:rsidR="000D14E7" w:rsidRPr="00C3243F" w14:paraId="0D1350A2" w14:textId="77777777" w:rsidTr="00B834D9">
        <w:tc>
          <w:tcPr>
            <w:tcW w:w="1458" w:type="dxa"/>
            <w:vAlign w:val="center"/>
          </w:tcPr>
          <w:p w14:paraId="4474BF78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-18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93125D">
              <w:rPr>
                <w:rFonts w:ascii="Times New Roman" w:hAnsi="Times New Roman"/>
                <w:b/>
              </w:rPr>
              <w:t>Accuracy – Trial 2</w:t>
            </w:r>
          </w:p>
        </w:tc>
        <w:tc>
          <w:tcPr>
            <w:tcW w:w="1709" w:type="dxa"/>
            <w:vAlign w:val="center"/>
          </w:tcPr>
          <w:p w14:paraId="4DE248C4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 xml:space="preserve">Determines the angular height of the object within +/- </w:t>
            </w:r>
            <w:r>
              <w:rPr>
                <w:rFonts w:ascii="Times New Roman" w:hAnsi="Times New Roman"/>
              </w:rPr>
              <w:t>2°</w:t>
            </w:r>
          </w:p>
        </w:tc>
        <w:tc>
          <w:tcPr>
            <w:tcW w:w="1883" w:type="dxa"/>
            <w:vAlign w:val="center"/>
          </w:tcPr>
          <w:p w14:paraId="7D0E6FCD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 xml:space="preserve">Determines the angular height of the object within +/- </w:t>
            </w:r>
            <w:r>
              <w:rPr>
                <w:rFonts w:ascii="Times New Roman" w:hAnsi="Times New Roman"/>
              </w:rPr>
              <w:t>4°</w:t>
            </w:r>
          </w:p>
        </w:tc>
        <w:tc>
          <w:tcPr>
            <w:tcW w:w="1882" w:type="dxa"/>
            <w:vAlign w:val="center"/>
          </w:tcPr>
          <w:p w14:paraId="2DE3FB31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 xml:space="preserve">Determines the angular height of the object within +/- </w:t>
            </w:r>
            <w:r>
              <w:rPr>
                <w:rFonts w:ascii="Times New Roman" w:hAnsi="Times New Roman"/>
              </w:rPr>
              <w:t>6°</w:t>
            </w:r>
          </w:p>
        </w:tc>
        <w:tc>
          <w:tcPr>
            <w:tcW w:w="1883" w:type="dxa"/>
            <w:vAlign w:val="center"/>
          </w:tcPr>
          <w:p w14:paraId="1E285A0C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 xml:space="preserve">Is different than the actual angular height by more than +/- </w:t>
            </w:r>
            <w:r>
              <w:rPr>
                <w:rFonts w:ascii="Times New Roman" w:hAnsi="Times New Roman"/>
              </w:rPr>
              <w:t>8°</w:t>
            </w:r>
          </w:p>
        </w:tc>
      </w:tr>
      <w:tr w:rsidR="000D14E7" w:rsidRPr="00C3243F" w14:paraId="11B5055F" w14:textId="77777777" w:rsidTr="00B834D9">
        <w:tc>
          <w:tcPr>
            <w:tcW w:w="1458" w:type="dxa"/>
            <w:vAlign w:val="center"/>
          </w:tcPr>
          <w:p w14:paraId="39091B43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-18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93125D">
              <w:rPr>
                <w:rFonts w:ascii="Times New Roman" w:hAnsi="Times New Roman"/>
                <w:b/>
              </w:rPr>
              <w:t>Accuracy – Trial 3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2D67ACF6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 xml:space="preserve">Determines the angular height of the object within +/- </w:t>
            </w:r>
            <w:r>
              <w:rPr>
                <w:rFonts w:ascii="Times New Roman" w:hAnsi="Times New Roman"/>
              </w:rPr>
              <w:t>2°</w:t>
            </w:r>
          </w:p>
        </w:tc>
        <w:tc>
          <w:tcPr>
            <w:tcW w:w="1883" w:type="dxa"/>
            <w:vAlign w:val="center"/>
          </w:tcPr>
          <w:p w14:paraId="7D63281D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 xml:space="preserve">Determines the angular height of the object within +/- </w:t>
            </w:r>
            <w:r>
              <w:rPr>
                <w:rFonts w:ascii="Times New Roman" w:hAnsi="Times New Roman"/>
              </w:rPr>
              <w:t>4°</w:t>
            </w:r>
          </w:p>
        </w:tc>
        <w:tc>
          <w:tcPr>
            <w:tcW w:w="1882" w:type="dxa"/>
            <w:vAlign w:val="center"/>
          </w:tcPr>
          <w:p w14:paraId="6006DD10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 xml:space="preserve">Determines the angular height of the object within +/- </w:t>
            </w:r>
            <w:r>
              <w:rPr>
                <w:rFonts w:ascii="Times New Roman" w:hAnsi="Times New Roman"/>
              </w:rPr>
              <w:t>6°</w:t>
            </w:r>
          </w:p>
        </w:tc>
        <w:tc>
          <w:tcPr>
            <w:tcW w:w="1883" w:type="dxa"/>
            <w:vAlign w:val="center"/>
          </w:tcPr>
          <w:p w14:paraId="025BAAD3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 xml:space="preserve">Is different than the actual angular height by more than +/- </w:t>
            </w:r>
            <w:r>
              <w:rPr>
                <w:rFonts w:ascii="Times New Roman" w:hAnsi="Times New Roman"/>
              </w:rPr>
              <w:t>8°</w:t>
            </w:r>
          </w:p>
        </w:tc>
      </w:tr>
      <w:tr w:rsidR="000D14E7" w:rsidRPr="00C3243F" w14:paraId="03EC3753" w14:textId="77777777" w:rsidTr="00B834D9">
        <w:tc>
          <w:tcPr>
            <w:tcW w:w="1458" w:type="dxa"/>
            <w:vAlign w:val="center"/>
          </w:tcPr>
          <w:p w14:paraId="689BC123" w14:textId="77777777" w:rsidR="000D14E7" w:rsidRPr="0093125D" w:rsidRDefault="000D14E7" w:rsidP="00B834D9">
            <w:pPr>
              <w:keepNext/>
              <w:keepLines/>
              <w:spacing w:before="120" w:after="120"/>
              <w:ind w:right="-18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93125D">
              <w:rPr>
                <w:rFonts w:ascii="Times New Roman" w:hAnsi="Times New Roman"/>
                <w:b/>
              </w:rPr>
              <w:t>Ease of Use - Reading Measurements</w:t>
            </w: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3A4D5254" w14:textId="77777777" w:rsidR="000D14E7" w:rsidRPr="0093125D" w:rsidRDefault="000D14E7" w:rsidP="00B834D9">
            <w:pPr>
              <w:spacing w:before="120" w:after="120"/>
              <w:ind w:right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  <w:vAlign w:val="center"/>
          </w:tcPr>
          <w:p w14:paraId="435C2899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>It is easy to read angular measurements from the quadrant.</w:t>
            </w:r>
          </w:p>
        </w:tc>
        <w:tc>
          <w:tcPr>
            <w:tcW w:w="1882" w:type="dxa"/>
            <w:vAlign w:val="center"/>
          </w:tcPr>
          <w:p w14:paraId="418E4562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 xml:space="preserve">It is somewhat difficult to read angular measurements from the quadrant. </w:t>
            </w:r>
          </w:p>
        </w:tc>
        <w:tc>
          <w:tcPr>
            <w:tcW w:w="1883" w:type="dxa"/>
            <w:vAlign w:val="center"/>
          </w:tcPr>
          <w:p w14:paraId="0A08853D" w14:textId="77777777" w:rsidR="000D14E7" w:rsidRPr="0093125D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93125D">
              <w:rPr>
                <w:rFonts w:ascii="Times New Roman" w:hAnsi="Times New Roman"/>
              </w:rPr>
              <w:t>It is very difficult to read angular measurements from the quadrant.</w:t>
            </w:r>
          </w:p>
        </w:tc>
      </w:tr>
      <w:tr w:rsidR="000D14E7" w:rsidRPr="00C3243F" w14:paraId="2B798E70" w14:textId="77777777" w:rsidTr="00B834D9">
        <w:tc>
          <w:tcPr>
            <w:tcW w:w="1458" w:type="dxa"/>
            <w:vAlign w:val="center"/>
          </w:tcPr>
          <w:p w14:paraId="18132D8B" w14:textId="77777777" w:rsidR="000D14E7" w:rsidRPr="002F5B28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-18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2F5B28">
              <w:rPr>
                <w:rFonts w:ascii="Times New Roman" w:hAnsi="Times New Roman"/>
                <w:b/>
              </w:rPr>
              <w:t>Durability</w:t>
            </w: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32C6DE6D" w14:textId="77777777" w:rsidR="000D14E7" w:rsidRPr="002F5B28" w:rsidRDefault="000D14E7" w:rsidP="00B834D9">
            <w:pPr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  <w:vAlign w:val="center"/>
          </w:tcPr>
          <w:p w14:paraId="124FC687" w14:textId="77777777" w:rsidR="000D14E7" w:rsidRPr="002F5B28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2F5B28">
              <w:rPr>
                <w:rFonts w:ascii="Times New Roman" w:hAnsi="Times New Roman"/>
              </w:rPr>
              <w:t>Quadrant is not easily damaged by normal use, and does not require any adjustments during use.</w:t>
            </w:r>
          </w:p>
        </w:tc>
        <w:tc>
          <w:tcPr>
            <w:tcW w:w="1882" w:type="dxa"/>
            <w:vAlign w:val="center"/>
          </w:tcPr>
          <w:p w14:paraId="197FF519" w14:textId="77777777" w:rsidR="000D14E7" w:rsidRPr="002F5B28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2F5B28">
              <w:rPr>
                <w:rFonts w:ascii="Times New Roman" w:hAnsi="Times New Roman"/>
              </w:rPr>
              <w:t>Quadrant is somewhat damaged by normal use and/or requires some adjustment while using.</w:t>
            </w:r>
          </w:p>
        </w:tc>
        <w:tc>
          <w:tcPr>
            <w:tcW w:w="1883" w:type="dxa"/>
            <w:vAlign w:val="center"/>
          </w:tcPr>
          <w:p w14:paraId="5CEA8191" w14:textId="77777777" w:rsidR="000D14E7" w:rsidRPr="002F5B28" w:rsidRDefault="000D14E7" w:rsidP="00B834D9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120"/>
              <w:ind w:right="180"/>
              <w:jc w:val="center"/>
              <w:outlineLvl w:val="4"/>
              <w:rPr>
                <w:rFonts w:ascii="Times New Roman" w:hAnsi="Times New Roman"/>
              </w:rPr>
            </w:pPr>
            <w:r w:rsidRPr="002F5B28">
              <w:rPr>
                <w:rFonts w:ascii="Times New Roman" w:hAnsi="Times New Roman"/>
              </w:rPr>
              <w:t>Quadrant is easily and significantly damaged with normal use, or requires extensive adjustment to use.</w:t>
            </w:r>
          </w:p>
        </w:tc>
      </w:tr>
    </w:tbl>
    <w:p w14:paraId="715A34B4" w14:textId="77777777" w:rsidR="000D14E7" w:rsidRDefault="000D14E7"/>
    <w:sectPr w:rsidR="000D14E7" w:rsidSect="005D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56713"/>
    <w:multiLevelType w:val="multilevel"/>
    <w:tmpl w:val="04090027"/>
    <w:styleLink w:val="Pam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E7"/>
    <w:rsid w:val="000C091F"/>
    <w:rsid w:val="000D14E7"/>
    <w:rsid w:val="005D3D9D"/>
    <w:rsid w:val="007752FA"/>
    <w:rsid w:val="008709EA"/>
    <w:rsid w:val="009F69D4"/>
    <w:rsid w:val="00B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88185"/>
  <w14:defaultImageDpi w14:val="300"/>
  <w15:docId w15:val="{9B994E6A-FA2D-4578-AE19-EE17E41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m">
    <w:name w:val="Pam"/>
    <w:uiPriority w:val="99"/>
    <w:rsid w:val="00B60201"/>
    <w:pPr>
      <w:numPr>
        <w:numId w:val="1"/>
      </w:numPr>
    </w:pPr>
  </w:style>
  <w:style w:type="table" w:styleId="TableGrid">
    <w:name w:val="Table Grid"/>
    <w:basedOn w:val="TableNormal"/>
    <w:rsid w:val="000D14E7"/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Enginuity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Lottero-Perdue</dc:creator>
  <cp:keywords/>
  <dc:description/>
  <cp:lastModifiedBy>Valynda Mayes</cp:lastModifiedBy>
  <cp:revision>3</cp:revision>
  <dcterms:created xsi:type="dcterms:W3CDTF">2016-11-17T21:16:00Z</dcterms:created>
  <dcterms:modified xsi:type="dcterms:W3CDTF">2020-09-24T21:01:00Z</dcterms:modified>
</cp:coreProperties>
</file>